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787" w:rsidRDefault="00D74787" w:rsidP="008C5A1E">
      <w:pPr>
        <w:pStyle w:val="Default"/>
        <w:ind w:left="702" w:right="-64" w:hanging="702"/>
        <w:jc w:val="center"/>
        <w:rPr>
          <w:rFonts w:cs="Arial"/>
          <w:sz w:val="22"/>
          <w:szCs w:val="22"/>
        </w:rPr>
      </w:pPr>
    </w:p>
    <w:p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First Envelope Proposal</w:t>
      </w:r>
    </w:p>
    <w:p w:rsidR="002B36BE" w:rsidRDefault="002B36BE" w:rsidP="008C5A1E">
      <w:pPr>
        <w:pStyle w:val="Default"/>
        <w:ind w:left="702" w:right="-64" w:hanging="702"/>
        <w:jc w:val="center"/>
        <w:rPr>
          <w:rFonts w:cs="Arial"/>
          <w:b/>
          <w:sz w:val="22"/>
          <w:szCs w:val="22"/>
        </w:rPr>
      </w:pPr>
    </w:p>
    <w:p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rsidR="00B64E06" w:rsidRDefault="00B64E06"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rsidR="003F46C4" w:rsidRDefault="003F46C4"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To,</w:t>
      </w:r>
    </w:p>
    <w:p w:rsidR="003F46C4" w:rsidRDefault="005F20D1" w:rsidP="003F46C4">
      <w:pPr>
        <w:spacing w:line="240" w:lineRule="auto"/>
        <w:jc w:val="both"/>
        <w:rPr>
          <w:rFonts w:ascii="Book Antiqua" w:hAnsi="Book Antiqua" w:cs="Arial"/>
          <w:szCs w:val="22"/>
        </w:rPr>
      </w:pPr>
      <w:r w:rsidRPr="005F20D1">
        <w:rPr>
          <w:rFonts w:ascii="Book Antiqua" w:hAnsi="Book Antiqua" w:cs="Arial"/>
          <w:szCs w:val="22"/>
        </w:rPr>
        <w:t>Contract Services</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w:t>
      </w:r>
      <w:proofErr w:type="spellStart"/>
      <w:r w:rsidRPr="003F46C4">
        <w:rPr>
          <w:rFonts w:ascii="Book Antiqua" w:hAnsi="Book Antiqua" w:cs="Arial"/>
          <w:szCs w:val="22"/>
        </w:rPr>
        <w:t>Saudamini</w:t>
      </w:r>
      <w:proofErr w:type="spellEnd"/>
      <w:r w:rsidRPr="003F46C4">
        <w:rPr>
          <w:rFonts w:ascii="Book Antiqua" w:hAnsi="Book Antiqua" w:cs="Arial"/>
          <w:szCs w:val="22"/>
        </w:rPr>
        <w:t>", Plot No. 2, Sector 29</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rsidTr="003F46C4">
        <w:tc>
          <w:tcPr>
            <w:tcW w:w="1908" w:type="dxa"/>
          </w:tcPr>
          <w:p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rsidR="003F46C4" w:rsidRPr="003A1820" w:rsidRDefault="003F46C4" w:rsidP="006C0C9A">
            <w:pPr>
              <w:tabs>
                <w:tab w:val="left" w:pos="3469"/>
              </w:tabs>
              <w:rPr>
                <w:rFonts w:ascii="Book Antiqua" w:hAnsi="Book Antiqua" w:cs="Arial"/>
                <w:b/>
                <w:bCs/>
                <w:szCs w:val="22"/>
              </w:rPr>
            </w:pPr>
          </w:p>
        </w:tc>
        <w:tc>
          <w:tcPr>
            <w:tcW w:w="7334" w:type="dxa"/>
          </w:tcPr>
          <w:p w:rsidR="003F46C4" w:rsidRDefault="003F46C4" w:rsidP="006C0C9A">
            <w:pPr>
              <w:tabs>
                <w:tab w:val="left" w:pos="3469"/>
              </w:tabs>
              <w:rPr>
                <w:rFonts w:ascii="Book Antiqua" w:hAnsi="Book Antiqua" w:cs="Arial"/>
                <w:szCs w:val="22"/>
              </w:rPr>
            </w:pPr>
          </w:p>
        </w:tc>
      </w:tr>
    </w:tbl>
    <w:p w:rsidR="003F46C4" w:rsidRDefault="003F46C4" w:rsidP="006C0C9A">
      <w:pPr>
        <w:tabs>
          <w:tab w:val="left" w:pos="3469"/>
        </w:tabs>
        <w:rPr>
          <w:rFonts w:ascii="Book Antiqua" w:hAnsi="Book Antiqua" w:cs="Arial"/>
          <w:szCs w:val="22"/>
        </w:rPr>
      </w:pPr>
    </w:p>
    <w:p w:rsidR="006C0C9A" w:rsidRDefault="006C0C9A" w:rsidP="006C0C9A">
      <w:pPr>
        <w:rPr>
          <w:rFonts w:ascii="Book Antiqua" w:hAnsi="Book Antiqua" w:cs="Arial"/>
          <w:szCs w:val="22"/>
        </w:rPr>
      </w:pPr>
      <w:r w:rsidRPr="00063631">
        <w:rPr>
          <w:rFonts w:ascii="Book Antiqua" w:hAnsi="Book Antiqua" w:cs="Arial"/>
          <w:szCs w:val="22"/>
        </w:rPr>
        <w:t>Dear Sir,</w:t>
      </w:r>
    </w:p>
    <w:p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First Envelope </w:t>
      </w:r>
      <w:proofErr w:type="gramStart"/>
      <w:r w:rsidRPr="003F46C4">
        <w:rPr>
          <w:rFonts w:ascii="Book Antiqua" w:hAnsi="Book Antiqua" w:cs="Arial"/>
          <w:szCs w:val="22"/>
        </w:rPr>
        <w:t>Proposal:</w:t>
      </w:r>
      <w:r>
        <w:rPr>
          <w:rFonts w:ascii="Book Antiqua" w:hAnsi="Book Antiqua" w:cs="Arial"/>
          <w:szCs w:val="22"/>
        </w:rPr>
        <w:t>.</w:t>
      </w:r>
      <w:proofErr w:type="gramEnd"/>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rsidR="00AB4944" w:rsidRDefault="00AB4944" w:rsidP="005C7643">
            <w:pPr>
              <w:jc w:val="both"/>
              <w:rPr>
                <w:rFonts w:ascii="Book Antiqua" w:hAnsi="Book Antiqua" w:cs="Arial"/>
                <w:spacing w:val="-2"/>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rsidR="00AB4944" w:rsidRDefault="00AB4944" w:rsidP="005C7643">
            <w:pPr>
              <w:jc w:val="both"/>
              <w:rPr>
                <w:rFonts w:ascii="Book Antiqua" w:hAnsi="Book Antiqua" w:cs="Arial"/>
                <w:sz w:val="22"/>
                <w:szCs w:val="22"/>
              </w:rPr>
            </w:pP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rsidR="00AB4944" w:rsidRPr="00FC0343" w:rsidRDefault="00AB4944" w:rsidP="005C7643">
            <w:pPr>
              <w:pStyle w:val="Default"/>
              <w:ind w:left="3600"/>
              <w:jc w:val="both"/>
              <w:rPr>
                <w:rFonts w:cs="Arial"/>
                <w:color w:val="auto"/>
                <w:sz w:val="14"/>
                <w:szCs w:val="14"/>
              </w:rPr>
            </w:pPr>
          </w:p>
          <w:p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rsidR="00AB4944" w:rsidRPr="0068631C" w:rsidRDefault="00AB4944" w:rsidP="005C7643">
            <w:pPr>
              <w:pStyle w:val="Default"/>
              <w:ind w:left="3828"/>
              <w:jc w:val="both"/>
              <w:rPr>
                <w:rFonts w:cs="Arial"/>
                <w:color w:val="auto"/>
                <w:sz w:val="22"/>
                <w:szCs w:val="22"/>
              </w:rPr>
            </w:pPr>
          </w:p>
          <w:p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rsidR="00AB4944" w:rsidRDefault="00AB4944" w:rsidP="005C7643">
            <w:pPr>
              <w:jc w:val="both"/>
              <w:rPr>
                <w:rFonts w:ascii="Book Antiqua" w:hAnsi="Book Antiqua" w:cs="Arial"/>
                <w:sz w:val="22"/>
                <w:szCs w:val="22"/>
              </w:rPr>
            </w:pPr>
          </w:p>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rsidR="00AB4944" w:rsidRPr="00FC0343" w:rsidRDefault="00AB4944" w:rsidP="005C7643">
            <w:pPr>
              <w:ind w:left="3870"/>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rsidR="00AB4944" w:rsidRDefault="00AB4944" w:rsidP="005C7643">
            <w:pPr>
              <w:jc w:val="both"/>
              <w:rPr>
                <w:rFonts w:ascii="Book Antiqua" w:hAnsi="Book Antiqua" w:cs="Arial"/>
                <w:sz w:val="22"/>
                <w:szCs w:val="22"/>
              </w:rPr>
            </w:pPr>
          </w:p>
          <w:p w:rsidR="00026FD0" w:rsidRDefault="00026FD0" w:rsidP="005C7643">
            <w:pPr>
              <w:jc w:val="both"/>
              <w:rPr>
                <w:rFonts w:ascii="Book Antiqua" w:hAnsi="Book Antiqua" w:cs="Arial"/>
                <w:sz w:val="22"/>
                <w:szCs w:val="22"/>
              </w:rPr>
            </w:pPr>
          </w:p>
          <w:p w:rsidR="00026FD0" w:rsidRDefault="00026FD0" w:rsidP="005C7643">
            <w:pPr>
              <w:jc w:val="both"/>
              <w:rPr>
                <w:rFonts w:ascii="Book Antiqua" w:hAnsi="Book Antiqua" w:cs="Arial"/>
                <w:sz w:val="22"/>
                <w:szCs w:val="22"/>
              </w:rPr>
            </w:pPr>
          </w:p>
          <w:p w:rsidR="00026FD0" w:rsidRDefault="00026FD0" w:rsidP="005C7643">
            <w:pPr>
              <w:jc w:val="both"/>
              <w:rPr>
                <w:rFonts w:ascii="Book Antiqua" w:hAnsi="Book Antiqua" w:cs="Arial"/>
                <w:sz w:val="22"/>
                <w:szCs w:val="22"/>
              </w:rPr>
            </w:pP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rsidR="00AB4944" w:rsidRPr="00FC0343" w:rsidRDefault="00AB4944" w:rsidP="005C7643">
            <w:pPr>
              <w:ind w:left="2160"/>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proofErr w:type="spellStart"/>
            <w:proofErr w:type="gramStart"/>
            <w:r w:rsidRPr="00FC0343">
              <w:rPr>
                <w:rFonts w:ascii="Book Antiqua" w:hAnsi="Book Antiqua" w:cs="Arial"/>
                <w:sz w:val="22"/>
                <w:szCs w:val="22"/>
              </w:rPr>
              <w:t>non judicial</w:t>
            </w:r>
            <w:proofErr w:type="spellEnd"/>
            <w:proofErr w:type="gramEnd"/>
            <w:r w:rsidRPr="00FC0343">
              <w:rPr>
                <w:rFonts w:ascii="Book Antiqua" w:hAnsi="Book Antiqua" w:cs="Arial"/>
                <w:sz w:val="22"/>
                <w:szCs w:val="22"/>
              </w:rPr>
              <w:t xml:space="preserve"> stamp paper of Rs. 100/-. </w:t>
            </w:r>
          </w:p>
          <w:p w:rsidR="00AB4944" w:rsidRPr="00FC0343" w:rsidRDefault="00AB4944" w:rsidP="00026FD0">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bookmarkEnd w:id="0"/>
    </w:tbl>
    <w:p w:rsidR="003F46C4" w:rsidRPr="003F46C4" w:rsidRDefault="003F46C4" w:rsidP="003F46C4">
      <w:pPr>
        <w:pStyle w:val="ListParagraph"/>
        <w:jc w:val="both"/>
        <w:rPr>
          <w:rFonts w:ascii="Book Antiqua" w:hAnsi="Book Antiqua" w:cs="Arial"/>
          <w:szCs w:val="22"/>
        </w:rPr>
      </w:pPr>
    </w:p>
    <w:p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rsidR="003F46C4" w:rsidRDefault="003F46C4" w:rsidP="003F46C4">
      <w:pPr>
        <w:pStyle w:val="ListParagraph"/>
        <w:jc w:val="both"/>
        <w:rPr>
          <w:rFonts w:ascii="Book Antiqua" w:hAnsi="Book Antiqua" w:cs="Arial"/>
          <w:szCs w:val="22"/>
        </w:rPr>
      </w:pPr>
    </w:p>
    <w:p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w:t>
      </w:r>
      <w:r w:rsidR="00847BA6">
        <w:rPr>
          <w:rFonts w:ascii="Book Antiqua" w:hAnsi="Book Antiqua" w:cs="Arial"/>
          <w:szCs w:val="22"/>
        </w:rPr>
        <w:t xml:space="preserve">original </w:t>
      </w:r>
      <w:bookmarkStart w:id="1" w:name="_GoBack"/>
      <w:bookmarkEnd w:id="1"/>
      <w:r w:rsidRPr="006D2DE8">
        <w:rPr>
          <w:rFonts w:ascii="Book Antiqua" w:hAnsi="Book Antiqua" w:cs="Arial"/>
          <w:szCs w:val="22"/>
        </w:rPr>
        <w:t xml:space="preserve">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Until a formal Contract is prepared and executed between us, this Proposal, together with your written acceptance thereof in the form of your Notification of Award shall constitute a binding contract between us.</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w:t>
      </w:r>
      <w:r w:rsidRPr="006D2DE8">
        <w:rPr>
          <w:rFonts w:ascii="Book Antiqua" w:hAnsi="Book Antiqua" w:cs="Arial"/>
          <w:szCs w:val="22"/>
        </w:rPr>
        <w:lastRenderedPageBreak/>
        <w:t>stage, we understand the Proposal will invite summary rejection /the contract will be liable to be terminated, even if Award has been issued.</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rsidR="00EC3971" w:rsidRDefault="00EC3971" w:rsidP="006C0C9A">
      <w:pPr>
        <w:ind w:left="720" w:hanging="720"/>
        <w:jc w:val="both"/>
        <w:rPr>
          <w:rFonts w:ascii="Book Antiqua" w:hAnsi="Book Antiqua" w:cs="Arial"/>
          <w:szCs w:val="22"/>
        </w:rPr>
      </w:pPr>
    </w:p>
    <w:p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bl>
    <w:p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844" w:rsidRDefault="001B4844" w:rsidP="00B64E06">
      <w:pPr>
        <w:spacing w:after="0" w:line="240" w:lineRule="auto"/>
      </w:pPr>
      <w:r>
        <w:separator/>
      </w:r>
    </w:p>
  </w:endnote>
  <w:endnote w:type="continuationSeparator" w:id="0">
    <w:p w:rsidR="001B4844" w:rsidRDefault="001B4844"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Pr="00185809">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844" w:rsidRDefault="001B4844" w:rsidP="00B64E06">
      <w:pPr>
        <w:spacing w:after="0" w:line="240" w:lineRule="auto"/>
      </w:pPr>
      <w:r>
        <w:separator/>
      </w:r>
    </w:p>
  </w:footnote>
  <w:footnote w:type="continuationSeparator" w:id="0">
    <w:p w:rsidR="001B4844" w:rsidRDefault="001B4844"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rsidTr="00185809">
      <w:tc>
        <w:tcPr>
          <w:tcW w:w="7488" w:type="dxa"/>
        </w:tcPr>
        <w:p w:rsidR="00185809" w:rsidRDefault="00185809" w:rsidP="00B64E06">
          <w:pPr>
            <w:pStyle w:val="Header"/>
            <w:rPr>
              <w:rFonts w:ascii="Book Antiqua" w:hAnsi="Book Antiqua"/>
              <w:b/>
              <w:szCs w:val="22"/>
            </w:rPr>
          </w:pPr>
        </w:p>
      </w:tc>
      <w:tc>
        <w:tcPr>
          <w:tcW w:w="1754" w:type="dxa"/>
        </w:tcPr>
        <w:p w:rsidR="00185809" w:rsidRDefault="00185809" w:rsidP="00B64E06">
          <w:pPr>
            <w:pStyle w:val="Header"/>
            <w:rPr>
              <w:rFonts w:ascii="Book Antiqua" w:hAnsi="Book Antiqua"/>
              <w:b/>
              <w:szCs w:val="22"/>
            </w:rPr>
          </w:pPr>
        </w:p>
      </w:tc>
    </w:tr>
  </w:tbl>
  <w:p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6FD0"/>
    <w:rsid w:val="00050F33"/>
    <w:rsid w:val="00063631"/>
    <w:rsid w:val="0009421E"/>
    <w:rsid w:val="000C2FBF"/>
    <w:rsid w:val="00131F30"/>
    <w:rsid w:val="00171929"/>
    <w:rsid w:val="00185809"/>
    <w:rsid w:val="0018778F"/>
    <w:rsid w:val="00192B5F"/>
    <w:rsid w:val="001B4844"/>
    <w:rsid w:val="00293DE4"/>
    <w:rsid w:val="002B36BE"/>
    <w:rsid w:val="002E4C39"/>
    <w:rsid w:val="0038132D"/>
    <w:rsid w:val="003A1820"/>
    <w:rsid w:val="003B6592"/>
    <w:rsid w:val="003F46C4"/>
    <w:rsid w:val="00413100"/>
    <w:rsid w:val="00421A5D"/>
    <w:rsid w:val="00425A15"/>
    <w:rsid w:val="00447E37"/>
    <w:rsid w:val="00477CCD"/>
    <w:rsid w:val="00490571"/>
    <w:rsid w:val="004F4D65"/>
    <w:rsid w:val="00533E91"/>
    <w:rsid w:val="00580259"/>
    <w:rsid w:val="00581BB5"/>
    <w:rsid w:val="005A0354"/>
    <w:rsid w:val="005F20D1"/>
    <w:rsid w:val="00605752"/>
    <w:rsid w:val="00617A42"/>
    <w:rsid w:val="00664F1B"/>
    <w:rsid w:val="006C0C9A"/>
    <w:rsid w:val="006D2DE8"/>
    <w:rsid w:val="0073674E"/>
    <w:rsid w:val="00750BB8"/>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A37C1D"/>
    <w:rsid w:val="00A45681"/>
    <w:rsid w:val="00A5726C"/>
    <w:rsid w:val="00A63617"/>
    <w:rsid w:val="00A81B42"/>
    <w:rsid w:val="00AA43E3"/>
    <w:rsid w:val="00AB4944"/>
    <w:rsid w:val="00AD7E4C"/>
    <w:rsid w:val="00B116D9"/>
    <w:rsid w:val="00B4441F"/>
    <w:rsid w:val="00B64E06"/>
    <w:rsid w:val="00C21F82"/>
    <w:rsid w:val="00C2314E"/>
    <w:rsid w:val="00C51FE4"/>
    <w:rsid w:val="00C6789F"/>
    <w:rsid w:val="00C86D84"/>
    <w:rsid w:val="00CC54E9"/>
    <w:rsid w:val="00CE3455"/>
    <w:rsid w:val="00CE46F3"/>
    <w:rsid w:val="00CE4979"/>
    <w:rsid w:val="00D25A9E"/>
    <w:rsid w:val="00D37208"/>
    <w:rsid w:val="00D64810"/>
    <w:rsid w:val="00D74787"/>
    <w:rsid w:val="00DA78E7"/>
    <w:rsid w:val="00DE4FCF"/>
    <w:rsid w:val="00DE508A"/>
    <w:rsid w:val="00DF72FA"/>
    <w:rsid w:val="00E7228C"/>
    <w:rsid w:val="00E978E5"/>
    <w:rsid w:val="00EC04C8"/>
    <w:rsid w:val="00EC14AA"/>
    <w:rsid w:val="00EC3971"/>
    <w:rsid w:val="00ED102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58CED"/>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4F68E-F898-42C3-BFFD-1F2405B39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Virendra . {Virendra}</cp:lastModifiedBy>
  <cp:revision>52</cp:revision>
  <cp:lastPrinted>2019-05-22T10:28:00Z</cp:lastPrinted>
  <dcterms:created xsi:type="dcterms:W3CDTF">2019-05-22T10:24:00Z</dcterms:created>
  <dcterms:modified xsi:type="dcterms:W3CDTF">2022-12-02T06:56:00Z</dcterms:modified>
  <cp:contentStatus/>
</cp:coreProperties>
</file>